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1F" w:rsidRDefault="00774F1F" w:rsidP="00774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EB">
        <w:rPr>
          <w:rFonts w:ascii="Times New Roman" w:hAnsi="Times New Roman" w:cs="Times New Roman"/>
          <w:b/>
          <w:sz w:val="28"/>
          <w:szCs w:val="28"/>
        </w:rPr>
        <w:t xml:space="preserve">Протокол обследования предметно </w:t>
      </w:r>
      <w:r>
        <w:rPr>
          <w:rFonts w:ascii="Times New Roman" w:hAnsi="Times New Roman" w:cs="Times New Roman"/>
          <w:b/>
          <w:sz w:val="28"/>
          <w:szCs w:val="28"/>
        </w:rPr>
        <w:t xml:space="preserve">– пространственной </w:t>
      </w:r>
      <w:r w:rsidRPr="006E4CEB">
        <w:rPr>
          <w:rFonts w:ascii="Times New Roman" w:hAnsi="Times New Roman" w:cs="Times New Roman"/>
          <w:b/>
          <w:sz w:val="28"/>
          <w:szCs w:val="28"/>
        </w:rPr>
        <w:t>развивающей среды</w:t>
      </w:r>
    </w:p>
    <w:tbl>
      <w:tblPr>
        <w:tblStyle w:val="a3"/>
        <w:tblW w:w="14842" w:type="dxa"/>
        <w:tblInd w:w="-5" w:type="dxa"/>
        <w:tblLook w:val="04A0" w:firstRow="1" w:lastRow="0" w:firstColumn="1" w:lastColumn="0" w:noHBand="0" w:noVBand="1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667"/>
      </w:tblGrid>
      <w:tr w:rsidR="00774F1F" w:rsidRPr="006E4CEB" w:rsidTr="00E134DC">
        <w:tc>
          <w:tcPr>
            <w:tcW w:w="4111" w:type="dxa"/>
            <w:vMerge w:val="restart"/>
          </w:tcPr>
          <w:p w:rsidR="00774F1F" w:rsidRPr="006E4CEB" w:rsidRDefault="00774F1F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Вопросы на контроле</w:t>
            </w:r>
          </w:p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1" w:type="dxa"/>
            <w:gridSpan w:val="14"/>
          </w:tcPr>
          <w:p w:rsidR="00774F1F" w:rsidRPr="006E4CEB" w:rsidRDefault="00774F1F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774F1F" w:rsidRPr="006E4CEB" w:rsidTr="00E134DC">
        <w:tc>
          <w:tcPr>
            <w:tcW w:w="4111" w:type="dxa"/>
            <w:vMerge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774F1F" w:rsidRPr="006E4CEB" w:rsidRDefault="00774F1F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Условия развития сюжетной игры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Игровые модули (жёсткие и мягкие)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Сюжетно-образные игрушки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*Наличие в группе пространства, игровых зон, в которых дети могут играть по личной инициативе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развития театрализованной игры  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Атрибуты для игр, шапочки-маски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театров: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плоскостной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пальчиковый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куклы би-ба-</w:t>
            </w:r>
            <w:proofErr w:type="spellStart"/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ростовые куклы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игр-экспериментирований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материал: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-разнообразие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-безопасность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-доступность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Достаточное количество дидактических игр по всем направлениям развития детей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оформление игр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Доступность для детей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Сменяемость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Соответствие игр возрасту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Картотека с описание речевых игр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подвижных игр детей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физкультурного уголка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Доступность для детей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Атрибуты для разнообразных подвижных игр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Соответствие игр возрасту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Наличие места для подвижных игр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411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 и эстетичность оформления пособий, размещения игрушек</w:t>
            </w: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:rsidR="00774F1F" w:rsidRPr="003B1B6B" w:rsidRDefault="00774F1F" w:rsidP="00E1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1F" w:rsidRPr="006E4CEB" w:rsidTr="00E134DC">
        <w:tc>
          <w:tcPr>
            <w:tcW w:w="14842" w:type="dxa"/>
            <w:gridSpan w:val="15"/>
          </w:tcPr>
          <w:p w:rsidR="00774F1F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6B">
              <w:rPr>
                <w:rFonts w:ascii="Times New Roman" w:hAnsi="Times New Roman" w:cs="Times New Roman"/>
                <w:sz w:val="24"/>
                <w:szCs w:val="24"/>
              </w:rPr>
              <w:t>Рекомендации:</w:t>
            </w:r>
          </w:p>
          <w:p w:rsidR="00774F1F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1F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1F" w:rsidRPr="003B1B6B" w:rsidRDefault="00774F1F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8E7" w:rsidRDefault="00A068E7">
      <w:bookmarkStart w:id="0" w:name="_GoBack"/>
      <w:bookmarkEnd w:id="0"/>
    </w:p>
    <w:sectPr w:rsidR="00A068E7" w:rsidSect="00774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1F"/>
    <w:rsid w:val="00774F1F"/>
    <w:rsid w:val="00A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17FB-8155-4DF4-9D19-3A65F5BE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2021-02-25T14:05:00Z</dcterms:created>
  <dcterms:modified xsi:type="dcterms:W3CDTF">2021-02-25T14:05:00Z</dcterms:modified>
</cp:coreProperties>
</file>