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2" w:rsidRDefault="002E6D02" w:rsidP="002E6D02">
      <w:pPr>
        <w:spacing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437A4" wp14:editId="56B74C3E">
            <wp:extent cx="400050" cy="571500"/>
            <wp:effectExtent l="0" t="0" r="0" b="0"/>
            <wp:docPr id="313644166" name="Рисунок 31364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2E6D02" w:rsidRDefault="002E6D02" w:rsidP="002E6D02">
      <w:pPr>
        <w:spacing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 ОБРАЗОВАНИЯ АДМИНИСТРАЦИИ Г. ЛИПЕЦКА</w:t>
      </w:r>
    </w:p>
    <w:p w:rsidR="002E6D02" w:rsidRDefault="002E6D02" w:rsidP="002E6D02">
      <w:pPr>
        <w:spacing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:rsidR="002E6D02" w:rsidRDefault="002E6D02" w:rsidP="002E6D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bookmarkStart w:id="0" w:name="_GoBack"/>
      <w:r w:rsidRPr="2D59ED7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Консультация для родителей.</w:t>
      </w:r>
    </w:p>
    <w:p w:rsidR="002E6D02" w:rsidRDefault="002E6D02" w:rsidP="002E6D02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«</w:t>
      </w: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Сюжетно-ролевая игра</w:t>
      </w:r>
    </w:p>
    <w:p w:rsidR="002E6D02" w:rsidRDefault="002E6D02" w:rsidP="002E6D02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в жизни ребенка»</w:t>
      </w:r>
    </w:p>
    <w:p w:rsidR="002E6D02" w:rsidRDefault="002E6D02" w:rsidP="002E6D02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(старший дошкольный возраст)</w:t>
      </w:r>
    </w:p>
    <w:bookmarkEnd w:id="0"/>
    <w:p w:rsidR="002E6D02" w:rsidRDefault="002E6D02" w:rsidP="002E6D02">
      <w:pPr>
        <w:ind w:firstLine="709"/>
        <w:jc w:val="center"/>
      </w:pPr>
    </w:p>
    <w:p w:rsidR="002E6D02" w:rsidRDefault="002E6D02" w:rsidP="002E6D02">
      <w:pPr>
        <w:ind w:firstLine="709"/>
        <w:jc w:val="both"/>
      </w:pPr>
    </w:p>
    <w:p w:rsidR="002E6D02" w:rsidRDefault="002E6D02" w:rsidP="002E6D02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0F4D32B" wp14:editId="5B5600FF">
            <wp:extent cx="2354415" cy="3026755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1-20-10-19-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053" cy="302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02" w:rsidRDefault="002E6D02" w:rsidP="002E6D02">
      <w:pPr>
        <w:ind w:firstLine="709"/>
        <w:jc w:val="both"/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старшего дошкольного возраста нуждается в совместной игре с взрослыми. Дети этого возраста могут играть в путешествия, обыгрывать сюжеты понравившихся им сказок, мультфильмов. Здесь уже появляются многотемные игры, то есть объединение нескольких сюжетов в один. Например, в игре "дочки-матери" куклы посещают детский сад, болеют, ходят в магазин, на почту, ездят отдыхать и т. д. Важно направлять игру детей, не разрушая ее, сохранять самодеятельный и творческий характер игры, непосредственность переживаний, веру в правду игры.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 детьми используйте косвенные методы, например, наводящие вопросы, совет, подсказки, введение дополнительных персонажей, ролей. Большую роль оказывает воздействие на ребенка через роль. Например, играя в магазин, можно спросить, почему нет тех или иных продуктов, как лучше упаковать, расположить товар, какие открыть отделы, организовать доставку продуктов людям и т. д.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Нельзя допускать, чтобы дети выбирали игры с отрицательным содержанием, поскольку переживания, связанные с игрой, не проходят бесследн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11174" wp14:editId="45B7485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4948" cy="2797518"/>
            <wp:effectExtent l="0" t="0" r="0" b="0"/>
            <wp:wrapSquare wrapText="bothSides"/>
            <wp:docPr id="1198090153" name="Рисунок 119809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48" cy="279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о. Можно переключить игру, придав ей положительное содержание, например, предложить ребенку: "Пусть у нас в игре папа будет добрым, ласковым". Если не удалось переключить игру, то надо ее прекратить, объяснив ребенку, почему не следует ее продолжать.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Итак, игра доставляет ребенку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сюжетно-ролевые игры можно организовать дома?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Сколько времени нужно уделять игре?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 и тогда нет смысла продолжать её дальше. 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 Роль родителей в игре.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3. Старайтесь, чтобы игра имела развитие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И так, в какие сюжетно-ролевые игры лучше играть?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«Семья»;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«Транспорт»;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«Магазин»;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«Больница»;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«Парикмахерская»;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сад»; </w:t>
      </w:r>
    </w:p>
    <w:p w:rsidR="002E6D02" w:rsidRDefault="002E6D02" w:rsidP="002E6D0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«Школа» и др.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Это могут быть:</w:t>
      </w:r>
    </w:p>
    <w:p w:rsidR="002E6D02" w:rsidRPr="00476E7F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«Семья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5DEF3E" wp14:editId="65AFF0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57430" cy="2531194"/>
            <wp:effectExtent l="0" t="0" r="0" b="0"/>
            <wp:wrapSquare wrapText="bothSides"/>
            <wp:docPr id="1615902694" name="Рисунок 161590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30" cy="253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E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Это самая любимая игра детей. Она уместна и обычного семейного вечера, и для веселого времяпрепровождения с гостями. Для начала распределить роли между всеми желающими. Причем папой может быть ребенок, а «настоящая» мама может использовать роль маленькой доченьки. Войти в роль помогут ролевые </w:t>
      </w:r>
      <w:r w:rsidRPr="478CE403">
        <w:rPr>
          <w:rFonts w:ascii="Times New Roman" w:eastAsia="Times New Roman" w:hAnsi="Times New Roman" w:cs="Times New Roman"/>
          <w:sz w:val="28"/>
          <w:szCs w:val="28"/>
          <w:u w:val="single"/>
        </w:rPr>
        <w:t>атрибуты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–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дедушки, бабушки, тетя, собака, кошка и т. д.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«Приглашаем к столу»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Часто приходиться краснеть за своего ребенка, когда он «некрасиво» ведет себя за столом. Уж, казалось бы, сколько раз делали ему замечания, а он 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ничего и не усвоил. Родители, </w:t>
      </w:r>
      <w:r w:rsidRPr="2D59ED73">
        <w:rPr>
          <w:rFonts w:ascii="Times New Roman" w:eastAsia="Times New Roman" w:hAnsi="Times New Roman" w:cs="Times New Roman"/>
          <w:sz w:val="28"/>
          <w:szCs w:val="28"/>
          <w:u w:val="single"/>
        </w:rPr>
        <w:t>помните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: одно дело в 101-й раз услышать инструкцию, и совсем другое – разыграть ситуацию!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Цель. Малыш запомнит названия предметов мебели. Посуды. Освоит понятия «справа», «слева», «большой», «маленький». Ребенок почувствует себя самостоятельным, поймет, как должен вести себя хозяин и как нужно вести себя в гостях. И, конечно, же, будет учиться быть внимательным ко всем и быть внимательным самому.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Что понадобиться. Стол и стулья (настоящий или игрушечный, для кукольной семьи). Скатерть, салфетки, чай, еда (но это не обязательно, можно играть «понарошку»).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Как играть. Накрыть стол скатертью и сделать правильную сервировку. Распределить, где кто будет сидеть. Вежливо пригласить всех к столу, предложить угощения.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Еще с детьми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белье (мыть посуду)», «Большая уборка», «Лечим больного ребенка», «День рожденье куклы», «Мишка и кукла в детском саду» и т. д.</w:t>
      </w:r>
    </w:p>
    <w:p w:rsidR="002E6D02" w:rsidRDefault="002E6D02" w:rsidP="002E6D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не хочет ходить в д/сад, то в процессе игры </w:t>
      </w: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«Детский сад»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sz w:val="28"/>
          <w:szCs w:val="28"/>
        </w:rPr>
        <w:t>ли поймут, что именно не нравит</w:t>
      </w:r>
      <w:r w:rsidRPr="2D59ED73">
        <w:rPr>
          <w:rFonts w:ascii="Times New Roman" w:eastAsia="Times New Roman" w:hAnsi="Times New Roman" w:cs="Times New Roman"/>
          <w:sz w:val="28"/>
          <w:szCs w:val="28"/>
        </w:rPr>
        <w:t>ся их малышу. Стоит только внимательно понаблюдать за тем, как именно играет ребенок, что он говорит от имени воспитателя, няни, других детей. Таким образом, Вы обязательно увидите и узнаете, что же больше всего беспокоит малыша – тревожащая их ситуация в игре обязательно проявиться. Благодаря этой игре, тот кроха, который еще только пойдет в д/сад или тот, который пока еще не привык к нему, быстрее адаптируется к новой обстановке.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AEC819" wp14:editId="313F33B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3175" cy="1895475"/>
            <wp:effectExtent l="0" t="0" r="0" b="0"/>
            <wp:wrapSquare wrapText="bothSides"/>
            <wp:docPr id="1369813115" name="Рисунок 136981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Если ребенок боится докторов, а ему предстоит сдавать анализы, поиграйте с ним поликлинику – так малыш подготовиться к предстоящим процедурам.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Фантазируйте, играя с ребенком, и у Вас все получится!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b/>
          <w:bCs/>
          <w:sz w:val="28"/>
          <w:szCs w:val="28"/>
        </w:rPr>
        <w:t>И в заключении…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Играйте с детьми как можно чаще. Приветствуйте проявление любых чувств, но не любое поведение.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t>Помните: игра – прекрасный источник укрепления физического, духовного, эмоционального самочувствия ребёнка.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D59ED73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игра ребёнка с взрослым не только основное средство развития маленького человека, но и инструмент, способствующий взаимопониманию разных поколений.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Открывайте мир вместе с ребёнком! Яркие и увлекательные игрушки созданы специально для того, чтобы поощрять любознательность вашего ребёнка.</w:t>
      </w: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02" w:rsidRDefault="002E6D02" w:rsidP="002E6D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AA" w:rsidRDefault="008F2BAA" w:rsidP="002E6D02">
      <w:pPr>
        <w:ind w:firstLine="709"/>
        <w:jc w:val="both"/>
      </w:pPr>
    </w:p>
    <w:sectPr w:rsidR="008F2BAA" w:rsidSect="002E6D0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B16"/>
    <w:multiLevelType w:val="hybridMultilevel"/>
    <w:tmpl w:val="05C2218A"/>
    <w:lvl w:ilvl="0" w:tplc="346EC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E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AC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87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0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0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4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7"/>
    <w:rsid w:val="002E6D02"/>
    <w:rsid w:val="0033129F"/>
    <w:rsid w:val="008F2BAA"/>
    <w:rsid w:val="00A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B5DC"/>
  <w15:chartTrackingRefBased/>
  <w15:docId w15:val="{89CFCF79-1410-442A-8CCA-0523823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02"/>
  </w:style>
  <w:style w:type="paragraph" w:styleId="1">
    <w:name w:val="heading 1"/>
    <w:basedOn w:val="a"/>
    <w:next w:val="a"/>
    <w:link w:val="10"/>
    <w:uiPriority w:val="9"/>
    <w:qFormat/>
    <w:rsid w:val="002E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Ирина Савина</cp:lastModifiedBy>
  <cp:revision>2</cp:revision>
  <dcterms:created xsi:type="dcterms:W3CDTF">2021-01-20T10:24:00Z</dcterms:created>
  <dcterms:modified xsi:type="dcterms:W3CDTF">2021-01-20T10:24:00Z</dcterms:modified>
</cp:coreProperties>
</file>